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48162" w14:textId="77777777" w:rsidR="0034545F" w:rsidRPr="002343D3" w:rsidRDefault="0034545F" w:rsidP="0034545F">
      <w:pPr>
        <w:spacing w:line="100" w:lineRule="atLeast"/>
        <w:jc w:val="center"/>
        <w:rPr>
          <w:rFonts w:eastAsia="Comic Sans MS"/>
          <w:b/>
        </w:rPr>
      </w:pPr>
      <w:r w:rsidRPr="002343D3">
        <w:rPr>
          <w:rFonts w:eastAsia="Comic Sans MS"/>
          <w:b/>
        </w:rPr>
        <w:t>Informativa estesa per la videosorveglianza</w:t>
      </w:r>
    </w:p>
    <w:p w14:paraId="56A47101" w14:textId="77777777" w:rsidR="0034545F" w:rsidRPr="002343D3" w:rsidRDefault="0034545F" w:rsidP="0034545F">
      <w:pPr>
        <w:spacing w:line="100" w:lineRule="atLeast"/>
        <w:jc w:val="center"/>
        <w:rPr>
          <w:rFonts w:eastAsia="Comic Sans MS"/>
          <w:b/>
        </w:rPr>
      </w:pPr>
      <w:r w:rsidRPr="002343D3">
        <w:rPr>
          <w:rFonts w:eastAsia="Comic Sans MS"/>
          <w:b/>
        </w:rPr>
        <w:t>(“Informativa”)</w:t>
      </w:r>
    </w:p>
    <w:p w14:paraId="7D901C7C" w14:textId="77777777" w:rsidR="0034545F" w:rsidRPr="002343D3" w:rsidRDefault="0034545F" w:rsidP="0034545F">
      <w:pPr>
        <w:spacing w:line="100" w:lineRule="atLeast"/>
        <w:jc w:val="center"/>
        <w:rPr>
          <w:rFonts w:eastAsia="Comic Sans MS"/>
          <w:b/>
        </w:rPr>
      </w:pPr>
      <w:r w:rsidRPr="002343D3">
        <w:rPr>
          <w:rFonts w:eastAsia="Comic Sans MS"/>
          <w:b/>
        </w:rPr>
        <w:t xml:space="preserve">(Versione “01” </w:t>
      </w:r>
      <w:r>
        <w:rPr>
          <w:rFonts w:eastAsia="Comic Sans MS"/>
          <w:b/>
        </w:rPr>
        <w:t>dicembre</w:t>
      </w:r>
      <w:r w:rsidRPr="002343D3">
        <w:rPr>
          <w:rFonts w:eastAsia="Comic Sans MS"/>
          <w:b/>
        </w:rPr>
        <w:t xml:space="preserve"> 2020)</w:t>
      </w:r>
    </w:p>
    <w:p w14:paraId="1CA1BB2F" w14:textId="77777777" w:rsidR="0034545F" w:rsidRPr="002343D3" w:rsidRDefault="0034545F" w:rsidP="0034545F">
      <w:pPr>
        <w:spacing w:line="100" w:lineRule="atLeast"/>
        <w:jc w:val="both"/>
        <w:rPr>
          <w:rFonts w:eastAsia="Comic Sans MS"/>
          <w:b/>
        </w:rPr>
      </w:pPr>
      <w:r w:rsidRPr="002343D3">
        <w:rPr>
          <w:rFonts w:eastAsia="Comic Sans MS"/>
          <w:b/>
        </w:rPr>
        <w:t>Indice:</w:t>
      </w:r>
    </w:p>
    <w:tbl>
      <w:tblPr>
        <w:tblStyle w:val="Grigliatabella"/>
        <w:tblW w:w="0" w:type="auto"/>
        <w:tblLook w:val="04A0" w:firstRow="1" w:lastRow="0" w:firstColumn="1" w:lastColumn="0" w:noHBand="0" w:noVBand="1"/>
      </w:tblPr>
      <w:tblGrid>
        <w:gridCol w:w="392"/>
        <w:gridCol w:w="5245"/>
      </w:tblGrid>
      <w:tr w:rsidR="0034545F" w:rsidRPr="002343D3" w14:paraId="5D777535" w14:textId="77777777" w:rsidTr="001A732E">
        <w:tc>
          <w:tcPr>
            <w:tcW w:w="392" w:type="dxa"/>
          </w:tcPr>
          <w:p w14:paraId="0396B08D" w14:textId="77777777" w:rsidR="0034545F" w:rsidRPr="002343D3" w:rsidRDefault="0034545F" w:rsidP="0034545F">
            <w:pPr>
              <w:pStyle w:val="Paragrafoelenco"/>
              <w:numPr>
                <w:ilvl w:val="0"/>
                <w:numId w:val="12"/>
              </w:numPr>
              <w:spacing w:after="0" w:line="240" w:lineRule="auto"/>
              <w:jc w:val="both"/>
              <w:rPr>
                <w:rFonts w:ascii="Times New Roman" w:eastAsia="Comic Sans MS" w:hAnsi="Times New Roman"/>
                <w:b/>
                <w:sz w:val="24"/>
                <w:szCs w:val="24"/>
              </w:rPr>
            </w:pPr>
          </w:p>
        </w:tc>
        <w:tc>
          <w:tcPr>
            <w:tcW w:w="5245" w:type="dxa"/>
          </w:tcPr>
          <w:p w14:paraId="46FFC6B9" w14:textId="77777777" w:rsidR="0034545F" w:rsidRPr="002343D3" w:rsidRDefault="0034545F" w:rsidP="001A732E">
            <w:pPr>
              <w:rPr>
                <w:rFonts w:eastAsia="Comic Sans MS"/>
                <w:b/>
              </w:rPr>
            </w:pPr>
            <w:r w:rsidRPr="002343D3">
              <w:rPr>
                <w:rFonts w:eastAsia="Comic Sans MS"/>
                <w:b/>
              </w:rPr>
              <w:t>Titolare del trattamento</w:t>
            </w:r>
          </w:p>
        </w:tc>
      </w:tr>
      <w:tr w:rsidR="0034545F" w:rsidRPr="002343D3" w14:paraId="6A1EA0CC" w14:textId="77777777" w:rsidTr="001A732E">
        <w:tc>
          <w:tcPr>
            <w:tcW w:w="392" w:type="dxa"/>
          </w:tcPr>
          <w:p w14:paraId="4AD84F77" w14:textId="77777777" w:rsidR="0034545F" w:rsidRPr="002343D3" w:rsidRDefault="0034545F" w:rsidP="0034545F">
            <w:pPr>
              <w:pStyle w:val="Paragrafoelenco"/>
              <w:numPr>
                <w:ilvl w:val="0"/>
                <w:numId w:val="12"/>
              </w:numPr>
              <w:spacing w:after="0" w:line="240" w:lineRule="auto"/>
              <w:jc w:val="both"/>
              <w:rPr>
                <w:rFonts w:ascii="Times New Roman" w:eastAsia="Comic Sans MS" w:hAnsi="Times New Roman"/>
                <w:b/>
                <w:sz w:val="24"/>
                <w:szCs w:val="24"/>
              </w:rPr>
            </w:pPr>
          </w:p>
        </w:tc>
        <w:tc>
          <w:tcPr>
            <w:tcW w:w="5245" w:type="dxa"/>
          </w:tcPr>
          <w:p w14:paraId="676D6092" w14:textId="77777777" w:rsidR="0034545F" w:rsidRPr="002343D3" w:rsidRDefault="0034545F" w:rsidP="001A732E">
            <w:pPr>
              <w:rPr>
                <w:rFonts w:eastAsia="Comic Sans MS"/>
                <w:b/>
              </w:rPr>
            </w:pPr>
            <w:r w:rsidRPr="002343D3">
              <w:rPr>
                <w:rFonts w:eastAsia="Comic Sans MS"/>
                <w:b/>
                <w:w w:val="105"/>
              </w:rPr>
              <w:t>Autorizzati interni e responsabili del trattamento. Destinatari dei dati</w:t>
            </w:r>
          </w:p>
        </w:tc>
      </w:tr>
      <w:tr w:rsidR="0034545F" w:rsidRPr="002343D3" w14:paraId="09C5CA04" w14:textId="77777777" w:rsidTr="001A732E">
        <w:tc>
          <w:tcPr>
            <w:tcW w:w="392" w:type="dxa"/>
          </w:tcPr>
          <w:p w14:paraId="340B9132" w14:textId="77777777" w:rsidR="0034545F" w:rsidRPr="002343D3" w:rsidRDefault="0034545F" w:rsidP="0034545F">
            <w:pPr>
              <w:pStyle w:val="Paragrafoelenco"/>
              <w:numPr>
                <w:ilvl w:val="0"/>
                <w:numId w:val="12"/>
              </w:numPr>
              <w:spacing w:after="0" w:line="240" w:lineRule="auto"/>
              <w:jc w:val="both"/>
              <w:rPr>
                <w:rFonts w:ascii="Times New Roman" w:eastAsia="Comic Sans MS" w:hAnsi="Times New Roman"/>
                <w:b/>
                <w:sz w:val="24"/>
                <w:szCs w:val="24"/>
              </w:rPr>
            </w:pPr>
          </w:p>
        </w:tc>
        <w:tc>
          <w:tcPr>
            <w:tcW w:w="5245" w:type="dxa"/>
          </w:tcPr>
          <w:p w14:paraId="3ACDF1E6" w14:textId="77777777" w:rsidR="0034545F" w:rsidRPr="002343D3" w:rsidRDefault="0034545F" w:rsidP="001A732E">
            <w:pPr>
              <w:rPr>
                <w:rFonts w:eastAsia="Comic Sans MS"/>
                <w:b/>
              </w:rPr>
            </w:pPr>
            <w:r w:rsidRPr="002343D3">
              <w:rPr>
                <w:rFonts w:eastAsia="Comic Sans MS"/>
                <w:b/>
                <w:w w:val="105"/>
              </w:rPr>
              <w:t>Interessati al trattamento e dati personali trattati</w:t>
            </w:r>
          </w:p>
        </w:tc>
      </w:tr>
      <w:tr w:rsidR="0034545F" w:rsidRPr="002343D3" w14:paraId="24F3446C" w14:textId="77777777" w:rsidTr="001A732E">
        <w:tc>
          <w:tcPr>
            <w:tcW w:w="392" w:type="dxa"/>
          </w:tcPr>
          <w:p w14:paraId="03E3BD8B" w14:textId="77777777" w:rsidR="0034545F" w:rsidRPr="002343D3" w:rsidRDefault="0034545F" w:rsidP="0034545F">
            <w:pPr>
              <w:pStyle w:val="Paragrafoelenco"/>
              <w:numPr>
                <w:ilvl w:val="0"/>
                <w:numId w:val="12"/>
              </w:numPr>
              <w:spacing w:after="0" w:line="240" w:lineRule="auto"/>
              <w:jc w:val="both"/>
              <w:rPr>
                <w:rFonts w:ascii="Times New Roman" w:eastAsia="Comic Sans MS" w:hAnsi="Times New Roman"/>
                <w:b/>
                <w:sz w:val="24"/>
                <w:szCs w:val="24"/>
              </w:rPr>
            </w:pPr>
          </w:p>
        </w:tc>
        <w:tc>
          <w:tcPr>
            <w:tcW w:w="5245" w:type="dxa"/>
          </w:tcPr>
          <w:p w14:paraId="52EB38EA" w14:textId="77777777" w:rsidR="0034545F" w:rsidRPr="002343D3" w:rsidRDefault="0034545F" w:rsidP="001A732E">
            <w:pPr>
              <w:rPr>
                <w:rFonts w:eastAsia="Comic Sans MS"/>
                <w:b/>
              </w:rPr>
            </w:pPr>
            <w:r w:rsidRPr="002343D3">
              <w:rPr>
                <w:rFonts w:eastAsia="Comic Sans MS"/>
                <w:b/>
                <w:w w:val="105"/>
              </w:rPr>
              <w:t>Finalità e base giuridica del trattamento</w:t>
            </w:r>
          </w:p>
        </w:tc>
      </w:tr>
      <w:tr w:rsidR="0034545F" w:rsidRPr="002343D3" w14:paraId="2544A619" w14:textId="77777777" w:rsidTr="001A732E">
        <w:tc>
          <w:tcPr>
            <w:tcW w:w="392" w:type="dxa"/>
          </w:tcPr>
          <w:p w14:paraId="2394ADCA" w14:textId="77777777" w:rsidR="0034545F" w:rsidRPr="002343D3" w:rsidRDefault="0034545F" w:rsidP="0034545F">
            <w:pPr>
              <w:pStyle w:val="Paragrafoelenco"/>
              <w:numPr>
                <w:ilvl w:val="0"/>
                <w:numId w:val="12"/>
              </w:numPr>
              <w:spacing w:after="0" w:line="240" w:lineRule="auto"/>
              <w:jc w:val="both"/>
              <w:rPr>
                <w:rFonts w:ascii="Times New Roman" w:eastAsia="Comic Sans MS" w:hAnsi="Times New Roman"/>
                <w:b/>
                <w:sz w:val="24"/>
                <w:szCs w:val="24"/>
              </w:rPr>
            </w:pPr>
          </w:p>
        </w:tc>
        <w:tc>
          <w:tcPr>
            <w:tcW w:w="5245" w:type="dxa"/>
          </w:tcPr>
          <w:p w14:paraId="19DBEDF6" w14:textId="77777777" w:rsidR="0034545F" w:rsidRPr="002343D3" w:rsidRDefault="0034545F" w:rsidP="001A732E">
            <w:pPr>
              <w:rPr>
                <w:rFonts w:eastAsia="Comic Sans MS"/>
                <w:b/>
              </w:rPr>
            </w:pPr>
            <w:r w:rsidRPr="002343D3">
              <w:rPr>
                <w:rFonts w:eastAsia="Comic Sans MS"/>
                <w:b/>
                <w:w w:val="105"/>
              </w:rPr>
              <w:t>Tempo di conservazione dei dati</w:t>
            </w:r>
          </w:p>
        </w:tc>
      </w:tr>
      <w:tr w:rsidR="0034545F" w:rsidRPr="002343D3" w14:paraId="2D55A2AF" w14:textId="77777777" w:rsidTr="001A732E">
        <w:tc>
          <w:tcPr>
            <w:tcW w:w="392" w:type="dxa"/>
          </w:tcPr>
          <w:p w14:paraId="55A4DB9B" w14:textId="77777777" w:rsidR="0034545F" w:rsidRPr="002343D3" w:rsidRDefault="0034545F" w:rsidP="0034545F">
            <w:pPr>
              <w:pStyle w:val="Paragrafoelenco"/>
              <w:numPr>
                <w:ilvl w:val="0"/>
                <w:numId w:val="12"/>
              </w:numPr>
              <w:spacing w:after="0" w:line="240" w:lineRule="auto"/>
              <w:jc w:val="both"/>
              <w:rPr>
                <w:rFonts w:ascii="Times New Roman" w:eastAsia="Comic Sans MS" w:hAnsi="Times New Roman"/>
                <w:b/>
                <w:sz w:val="24"/>
                <w:szCs w:val="24"/>
              </w:rPr>
            </w:pPr>
          </w:p>
        </w:tc>
        <w:tc>
          <w:tcPr>
            <w:tcW w:w="5245" w:type="dxa"/>
          </w:tcPr>
          <w:p w14:paraId="3089B0F0" w14:textId="77777777" w:rsidR="0034545F" w:rsidRPr="002343D3" w:rsidRDefault="0034545F" w:rsidP="001A732E">
            <w:pPr>
              <w:rPr>
                <w:rFonts w:eastAsia="Comic Sans MS"/>
                <w:b/>
              </w:rPr>
            </w:pPr>
            <w:r w:rsidRPr="002343D3">
              <w:rPr>
                <w:rFonts w:eastAsia="Comic Sans MS"/>
                <w:b/>
                <w:w w:val="105"/>
              </w:rPr>
              <w:t>Diritti</w:t>
            </w:r>
          </w:p>
        </w:tc>
      </w:tr>
      <w:tr w:rsidR="0034545F" w:rsidRPr="002343D3" w14:paraId="6CB1969D" w14:textId="77777777" w:rsidTr="001A732E">
        <w:tc>
          <w:tcPr>
            <w:tcW w:w="392" w:type="dxa"/>
          </w:tcPr>
          <w:p w14:paraId="494ECF97" w14:textId="77777777" w:rsidR="0034545F" w:rsidRPr="002343D3" w:rsidRDefault="0034545F" w:rsidP="0034545F">
            <w:pPr>
              <w:pStyle w:val="Paragrafoelenco"/>
              <w:numPr>
                <w:ilvl w:val="0"/>
                <w:numId w:val="12"/>
              </w:numPr>
              <w:spacing w:after="0" w:line="240" w:lineRule="auto"/>
              <w:jc w:val="both"/>
              <w:rPr>
                <w:rFonts w:ascii="Times New Roman" w:eastAsia="Comic Sans MS" w:hAnsi="Times New Roman"/>
                <w:b/>
                <w:sz w:val="24"/>
                <w:szCs w:val="24"/>
              </w:rPr>
            </w:pPr>
          </w:p>
        </w:tc>
        <w:tc>
          <w:tcPr>
            <w:tcW w:w="5245" w:type="dxa"/>
          </w:tcPr>
          <w:p w14:paraId="6F7EC0A6" w14:textId="77777777" w:rsidR="0034545F" w:rsidRPr="002343D3" w:rsidRDefault="0034545F" w:rsidP="001A732E">
            <w:pPr>
              <w:rPr>
                <w:rFonts w:eastAsia="Comic Sans MS"/>
                <w:b/>
                <w:w w:val="105"/>
              </w:rPr>
            </w:pPr>
            <w:r w:rsidRPr="002343D3">
              <w:rPr>
                <w:rFonts w:eastAsia="Comic Sans MS"/>
                <w:b/>
                <w:w w:val="105"/>
              </w:rPr>
              <w:t>Diritto di opposizione</w:t>
            </w:r>
          </w:p>
        </w:tc>
      </w:tr>
      <w:tr w:rsidR="0034545F" w:rsidRPr="002343D3" w14:paraId="5920DD36" w14:textId="77777777" w:rsidTr="001A732E">
        <w:tc>
          <w:tcPr>
            <w:tcW w:w="392" w:type="dxa"/>
          </w:tcPr>
          <w:p w14:paraId="73EBFE0B" w14:textId="77777777" w:rsidR="0034545F" w:rsidRPr="002343D3" w:rsidRDefault="0034545F" w:rsidP="0034545F">
            <w:pPr>
              <w:pStyle w:val="Paragrafoelenco"/>
              <w:numPr>
                <w:ilvl w:val="0"/>
                <w:numId w:val="12"/>
              </w:numPr>
              <w:spacing w:after="0" w:line="240" w:lineRule="auto"/>
              <w:jc w:val="both"/>
              <w:rPr>
                <w:rFonts w:ascii="Times New Roman" w:eastAsia="Comic Sans MS" w:hAnsi="Times New Roman"/>
                <w:b/>
                <w:sz w:val="24"/>
                <w:szCs w:val="24"/>
              </w:rPr>
            </w:pPr>
          </w:p>
        </w:tc>
        <w:tc>
          <w:tcPr>
            <w:tcW w:w="5245" w:type="dxa"/>
          </w:tcPr>
          <w:p w14:paraId="3F7DD353" w14:textId="77777777" w:rsidR="0034545F" w:rsidRPr="002343D3" w:rsidRDefault="0034545F" w:rsidP="001A732E">
            <w:pPr>
              <w:rPr>
                <w:rFonts w:eastAsia="Comic Sans MS"/>
                <w:b/>
              </w:rPr>
            </w:pPr>
            <w:r w:rsidRPr="002343D3">
              <w:rPr>
                <w:rFonts w:eastAsia="Comic Sans MS"/>
                <w:b/>
                <w:w w:val="105"/>
              </w:rPr>
              <w:t>Reclamo</w:t>
            </w:r>
          </w:p>
        </w:tc>
      </w:tr>
      <w:tr w:rsidR="0034545F" w:rsidRPr="002343D3" w14:paraId="72BFAB07" w14:textId="77777777" w:rsidTr="001A732E">
        <w:tc>
          <w:tcPr>
            <w:tcW w:w="392" w:type="dxa"/>
          </w:tcPr>
          <w:p w14:paraId="5CD33416" w14:textId="77777777" w:rsidR="0034545F" w:rsidRPr="002343D3" w:rsidRDefault="0034545F" w:rsidP="0034545F">
            <w:pPr>
              <w:pStyle w:val="Paragrafoelenco"/>
              <w:numPr>
                <w:ilvl w:val="0"/>
                <w:numId w:val="12"/>
              </w:numPr>
              <w:spacing w:after="0" w:line="240" w:lineRule="auto"/>
              <w:jc w:val="both"/>
              <w:rPr>
                <w:rFonts w:ascii="Times New Roman" w:eastAsia="Comic Sans MS" w:hAnsi="Times New Roman"/>
                <w:b/>
                <w:sz w:val="24"/>
                <w:szCs w:val="24"/>
              </w:rPr>
            </w:pPr>
          </w:p>
        </w:tc>
        <w:tc>
          <w:tcPr>
            <w:tcW w:w="5245" w:type="dxa"/>
          </w:tcPr>
          <w:p w14:paraId="2D82172B" w14:textId="77777777" w:rsidR="0034545F" w:rsidRPr="002343D3" w:rsidRDefault="0034545F" w:rsidP="001A732E">
            <w:pPr>
              <w:rPr>
                <w:rFonts w:eastAsia="Comic Sans MS"/>
                <w:b/>
                <w:w w:val="105"/>
              </w:rPr>
            </w:pPr>
            <w:r w:rsidRPr="002343D3">
              <w:rPr>
                <w:rFonts w:eastAsia="Comic Sans MS"/>
                <w:b/>
                <w:w w:val="105"/>
              </w:rPr>
              <w:t>Aggiornamenti e revisioni</w:t>
            </w:r>
          </w:p>
        </w:tc>
      </w:tr>
    </w:tbl>
    <w:p w14:paraId="3E1126A7" w14:textId="77777777" w:rsidR="0034545F" w:rsidRPr="002343D3" w:rsidRDefault="0034545F" w:rsidP="0034545F">
      <w:pPr>
        <w:spacing w:line="100" w:lineRule="atLeast"/>
        <w:jc w:val="center"/>
        <w:rPr>
          <w:rFonts w:eastAsia="Comic Sans MS"/>
          <w:b/>
        </w:rPr>
      </w:pPr>
    </w:p>
    <w:p w14:paraId="330498EE" w14:textId="77777777" w:rsidR="0034545F" w:rsidRPr="002343D3" w:rsidRDefault="0034545F" w:rsidP="0034545F">
      <w:pPr>
        <w:spacing w:line="100" w:lineRule="atLeast"/>
        <w:jc w:val="center"/>
        <w:rPr>
          <w:rFonts w:eastAsia="Comic Sans MS"/>
          <w:b/>
        </w:rPr>
      </w:pPr>
      <w:r w:rsidRPr="002343D3">
        <w:rPr>
          <w:rFonts w:eastAsia="Comic Sans MS"/>
          <w:b/>
        </w:rPr>
        <w:t>***</w:t>
      </w:r>
    </w:p>
    <w:p w14:paraId="526BA825" w14:textId="77777777" w:rsidR="0034545F" w:rsidRPr="002343D3" w:rsidRDefault="0034545F" w:rsidP="0034545F">
      <w:pPr>
        <w:spacing w:line="100" w:lineRule="atLeast"/>
        <w:jc w:val="center"/>
        <w:rPr>
          <w:rFonts w:eastAsia="Comic Sans MS"/>
          <w:b/>
        </w:rPr>
      </w:pPr>
    </w:p>
    <w:tbl>
      <w:tblPr>
        <w:tblW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840"/>
        <w:gridCol w:w="5163"/>
      </w:tblGrid>
      <w:tr w:rsidR="0034545F" w:rsidRPr="002343D3" w14:paraId="3429B64D" w14:textId="77777777" w:rsidTr="00856CBA">
        <w:trPr>
          <w:trHeight w:val="618"/>
        </w:trPr>
        <w:tc>
          <w:tcPr>
            <w:tcW w:w="236" w:type="dxa"/>
            <w:tcBorders>
              <w:top w:val="single" w:sz="4" w:space="0" w:color="auto"/>
              <w:left w:val="single" w:sz="4" w:space="0" w:color="auto"/>
              <w:bottom w:val="single" w:sz="4" w:space="0" w:color="auto"/>
              <w:right w:val="single" w:sz="4" w:space="0" w:color="auto"/>
            </w:tcBorders>
          </w:tcPr>
          <w:p w14:paraId="071E6A70" w14:textId="77777777" w:rsidR="0034545F" w:rsidRPr="002343D3" w:rsidRDefault="0034545F" w:rsidP="00856CBA">
            <w:pPr>
              <w:pStyle w:val="Paragrafoelenco"/>
              <w:numPr>
                <w:ilvl w:val="0"/>
                <w:numId w:val="11"/>
              </w:numPr>
              <w:jc w:val="both"/>
              <w:rPr>
                <w:rFonts w:ascii="Times New Roman" w:eastAsia="Comic Sans MS" w:hAnsi="Times New Roman"/>
                <w:b/>
                <w:w w:val="105"/>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14:paraId="34E5F9BE" w14:textId="063A6556" w:rsidR="0034545F" w:rsidRPr="002343D3" w:rsidRDefault="0034545F" w:rsidP="00856CBA">
            <w:pPr>
              <w:rPr>
                <w:rFonts w:eastAsia="Comic Sans MS"/>
                <w:b/>
                <w:w w:val="105"/>
              </w:rPr>
            </w:pPr>
            <w:r w:rsidRPr="002343D3">
              <w:rPr>
                <w:rFonts w:eastAsia="Comic Sans MS"/>
                <w:b/>
                <w:w w:val="105"/>
              </w:rPr>
              <w:t>Titolare</w:t>
            </w:r>
            <w:r w:rsidR="00856CBA">
              <w:rPr>
                <w:rFonts w:eastAsia="Comic Sans MS"/>
                <w:b/>
                <w:w w:val="105"/>
              </w:rPr>
              <w:t xml:space="preserve"> </w:t>
            </w:r>
            <w:r w:rsidRPr="002343D3">
              <w:rPr>
                <w:rFonts w:eastAsia="Comic Sans MS"/>
                <w:b/>
                <w:w w:val="105"/>
              </w:rPr>
              <w:t>del trattamento</w:t>
            </w:r>
          </w:p>
        </w:tc>
        <w:tc>
          <w:tcPr>
            <w:tcW w:w="5163" w:type="dxa"/>
            <w:tcBorders>
              <w:top w:val="single" w:sz="4" w:space="0" w:color="auto"/>
              <w:left w:val="single" w:sz="4" w:space="0" w:color="auto"/>
              <w:bottom w:val="single" w:sz="4" w:space="0" w:color="auto"/>
              <w:right w:val="single" w:sz="4" w:space="0" w:color="auto"/>
            </w:tcBorders>
            <w:hideMark/>
          </w:tcPr>
          <w:p w14:paraId="75AACA8F" w14:textId="77777777" w:rsidR="0034545F" w:rsidRPr="002343D3" w:rsidRDefault="0034545F" w:rsidP="00856CBA">
            <w:pPr>
              <w:autoSpaceDE w:val="0"/>
              <w:autoSpaceDN w:val="0"/>
              <w:jc w:val="both"/>
              <w:rPr>
                <w:rFonts w:eastAsia="Comic Sans MS"/>
                <w:w w:val="105"/>
              </w:rPr>
            </w:pPr>
            <w:r w:rsidRPr="002343D3">
              <w:rPr>
                <w:rFonts w:eastAsia="Comic Sans MS"/>
                <w:w w:val="105"/>
              </w:rPr>
              <w:t xml:space="preserve">Il </w:t>
            </w:r>
            <w:r w:rsidRPr="002343D3">
              <w:rPr>
                <w:rFonts w:eastAsia="Comic Sans MS"/>
                <w:b/>
                <w:w w:val="105"/>
              </w:rPr>
              <w:t>titolare del trattamento</w:t>
            </w:r>
            <w:r w:rsidRPr="002343D3">
              <w:rPr>
                <w:rFonts w:eastAsia="Comic Sans MS"/>
                <w:w w:val="105"/>
              </w:rPr>
              <w:t xml:space="preserve"> dei dati è la società </w:t>
            </w:r>
            <w:r w:rsidRPr="000C40C8">
              <w:rPr>
                <w:rFonts w:eastAsia="Comic Sans MS"/>
                <w:b/>
                <w:w w:val="105"/>
              </w:rPr>
              <w:t>Macchiavelli S.r.l.</w:t>
            </w:r>
            <w:r w:rsidRPr="00B72972">
              <w:rPr>
                <w:rFonts w:eastAsia="Comic Sans MS"/>
                <w:w w:val="105"/>
              </w:rPr>
              <w:t xml:space="preserve"> (“</w:t>
            </w:r>
            <w:r>
              <w:rPr>
                <w:rFonts w:eastAsia="Comic Sans MS"/>
                <w:w w:val="105"/>
              </w:rPr>
              <w:t>Macchiavelli</w:t>
            </w:r>
            <w:r w:rsidRPr="00B72972">
              <w:rPr>
                <w:rFonts w:eastAsia="Comic Sans MS"/>
                <w:w w:val="105"/>
              </w:rPr>
              <w:t>”)</w:t>
            </w:r>
            <w:r>
              <w:rPr>
                <w:rFonts w:eastAsia="Comic Sans MS"/>
                <w:w w:val="105"/>
              </w:rPr>
              <w:t xml:space="preserve">, con sede in </w:t>
            </w:r>
            <w:r w:rsidRPr="000C40C8">
              <w:rPr>
                <w:rFonts w:eastAsia="Comic Sans MS"/>
                <w:w w:val="105"/>
              </w:rPr>
              <w:t>Via del Vetraio 20</w:t>
            </w:r>
            <w:r>
              <w:rPr>
                <w:rFonts w:eastAsia="Comic Sans MS"/>
                <w:w w:val="105"/>
              </w:rPr>
              <w:t xml:space="preserve">, </w:t>
            </w:r>
            <w:r w:rsidRPr="000C40C8">
              <w:rPr>
                <w:rFonts w:eastAsia="Comic Sans MS"/>
                <w:w w:val="105"/>
              </w:rPr>
              <w:t>40138</w:t>
            </w:r>
            <w:r w:rsidRPr="00B72972">
              <w:rPr>
                <w:rFonts w:eastAsia="Comic Sans MS"/>
                <w:w w:val="105"/>
              </w:rPr>
              <w:t xml:space="preserve"> - </w:t>
            </w:r>
            <w:r>
              <w:rPr>
                <w:rFonts w:eastAsia="Comic Sans MS"/>
                <w:w w:val="105"/>
              </w:rPr>
              <w:t xml:space="preserve">Bologna </w:t>
            </w:r>
            <w:r w:rsidRPr="00B72972">
              <w:rPr>
                <w:rFonts w:eastAsia="Comic Sans MS"/>
                <w:w w:val="105"/>
              </w:rPr>
              <w:t>Email:</w:t>
            </w:r>
            <w:r>
              <w:rPr>
                <w:rFonts w:eastAsia="Comic Sans MS"/>
                <w:w w:val="105"/>
              </w:rPr>
              <w:t xml:space="preserve"> i</w:t>
            </w:r>
            <w:r w:rsidRPr="000C40C8">
              <w:rPr>
                <w:rFonts w:eastAsia="Comic Sans MS"/>
                <w:w w:val="105"/>
              </w:rPr>
              <w:t>nfo@macchiavelligroup.com</w:t>
            </w:r>
            <w:r w:rsidRPr="00B72972">
              <w:rPr>
                <w:rFonts w:eastAsia="Comic Sans MS"/>
                <w:w w:val="105"/>
              </w:rPr>
              <w:t xml:space="preserve"> (”Società”)</w:t>
            </w:r>
            <w:r>
              <w:rPr>
                <w:rFonts w:eastAsia="Comic Sans MS"/>
                <w:w w:val="105"/>
              </w:rPr>
              <w:t>.</w:t>
            </w:r>
            <w:r w:rsidRPr="00B72972">
              <w:rPr>
                <w:rFonts w:eastAsia="Comic Sans MS"/>
                <w:w w:val="105"/>
              </w:rPr>
              <w:t xml:space="preserve"> La Società tratta</w:t>
            </w:r>
            <w:r w:rsidRPr="002343D3">
              <w:rPr>
                <w:rFonts w:eastAsia="Comic Sans MS"/>
                <w:w w:val="105"/>
              </w:rPr>
              <w:t xml:space="preserve"> i dati personali degli interessati, consistenti nelle immagini dei medesimi, in conformità al </w:t>
            </w:r>
            <w:r w:rsidRPr="002343D3">
              <w:t xml:space="preserve">GDPR, alle Leggi Nazionali sulla Protezione dei Dati, nonché alle Linee guida sulla videosorveglianza adottate dal Comitato europeo per la protezione dei dati il 10 luglio 2019, al Provvedimento Generale in materia di videosorveglianza, dell’8 aprile 2010 emanato dall’Autorità Garante per la protezione dei dati personali (“Garante”) </w:t>
            </w:r>
            <w:r w:rsidRPr="002731C3">
              <w:t>–</w:t>
            </w:r>
            <w:r>
              <w:t xml:space="preserve"> così come esplicato dalle FAQ sulla videosorveglianza del 5 dicembre 2020 </w:t>
            </w:r>
            <w:r w:rsidRPr="002731C3">
              <w:t>–</w:t>
            </w:r>
            <w:r>
              <w:t xml:space="preserve"> </w:t>
            </w:r>
            <w:r w:rsidRPr="002343D3">
              <w:t>e all’articolo 4 della Legge n.300/1970.</w:t>
            </w:r>
          </w:p>
        </w:tc>
      </w:tr>
      <w:tr w:rsidR="0034545F" w:rsidRPr="002343D3" w14:paraId="5B19709A" w14:textId="77777777" w:rsidTr="00856CBA">
        <w:trPr>
          <w:trHeight w:val="618"/>
        </w:trPr>
        <w:tc>
          <w:tcPr>
            <w:tcW w:w="236" w:type="dxa"/>
            <w:tcBorders>
              <w:top w:val="single" w:sz="4" w:space="0" w:color="auto"/>
              <w:left w:val="single" w:sz="4" w:space="0" w:color="auto"/>
              <w:bottom w:val="single" w:sz="4" w:space="0" w:color="auto"/>
              <w:right w:val="single" w:sz="4" w:space="0" w:color="auto"/>
            </w:tcBorders>
          </w:tcPr>
          <w:p w14:paraId="1A595A1E" w14:textId="77777777" w:rsidR="0034545F" w:rsidRPr="002343D3" w:rsidRDefault="0034545F" w:rsidP="00856CBA">
            <w:pPr>
              <w:pStyle w:val="Paragrafoelenco"/>
              <w:numPr>
                <w:ilvl w:val="0"/>
                <w:numId w:val="11"/>
              </w:numPr>
              <w:jc w:val="both"/>
              <w:rPr>
                <w:rFonts w:ascii="Times New Roman" w:eastAsia="Comic Sans MS" w:hAnsi="Times New Roman"/>
                <w:b/>
                <w:w w:val="105"/>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14:paraId="70E2FE39" w14:textId="77777777" w:rsidR="0034545F" w:rsidRPr="002343D3" w:rsidRDefault="0034545F" w:rsidP="00856CBA">
            <w:pPr>
              <w:rPr>
                <w:rFonts w:eastAsia="Comic Sans MS"/>
                <w:b/>
                <w:w w:val="105"/>
              </w:rPr>
            </w:pPr>
            <w:r w:rsidRPr="002343D3">
              <w:rPr>
                <w:rFonts w:eastAsia="Comic Sans MS"/>
                <w:b/>
                <w:w w:val="105"/>
              </w:rPr>
              <w:t>Autorizzati interni e responsabili del trattamento. Destinatari dei dati</w:t>
            </w:r>
          </w:p>
        </w:tc>
        <w:tc>
          <w:tcPr>
            <w:tcW w:w="5163" w:type="dxa"/>
            <w:tcBorders>
              <w:top w:val="single" w:sz="4" w:space="0" w:color="auto"/>
              <w:left w:val="single" w:sz="4" w:space="0" w:color="auto"/>
              <w:bottom w:val="single" w:sz="4" w:space="0" w:color="auto"/>
              <w:right w:val="single" w:sz="4" w:space="0" w:color="auto"/>
            </w:tcBorders>
            <w:hideMark/>
          </w:tcPr>
          <w:p w14:paraId="4F3FBBEE" w14:textId="77777777" w:rsidR="0034545F" w:rsidRPr="002343D3" w:rsidRDefault="0034545F" w:rsidP="00856CBA">
            <w:pPr>
              <w:autoSpaceDE w:val="0"/>
              <w:autoSpaceDN w:val="0"/>
              <w:jc w:val="both"/>
              <w:rPr>
                <w:rFonts w:eastAsia="Comic Sans MS"/>
                <w:w w:val="105"/>
              </w:rPr>
            </w:pPr>
            <w:r w:rsidRPr="002343D3">
              <w:rPr>
                <w:rFonts w:eastAsia="Comic Sans MS"/>
                <w:w w:val="105"/>
              </w:rPr>
              <w:t>L’utilizzo e la visione delle registrazioni sono effettuati</w:t>
            </w:r>
            <w:r>
              <w:rPr>
                <w:rFonts w:eastAsia="Comic Sans MS"/>
                <w:w w:val="105"/>
              </w:rPr>
              <w:t xml:space="preserve"> </w:t>
            </w:r>
            <w:r w:rsidRPr="002343D3">
              <w:rPr>
                <w:rFonts w:eastAsia="Comic Sans MS"/>
                <w:w w:val="105"/>
              </w:rPr>
              <w:t>esclusivamente da parte del personale a ciò</w:t>
            </w:r>
            <w:r>
              <w:rPr>
                <w:rFonts w:eastAsia="Comic Sans MS"/>
                <w:w w:val="105"/>
              </w:rPr>
              <w:t xml:space="preserve"> specificamente autorizzato – sulla base di apposito regolamento interno adottato dalla Società –</w:t>
            </w:r>
            <w:r w:rsidRPr="002343D3">
              <w:rPr>
                <w:rFonts w:eastAsia="Comic Sans MS"/>
                <w:w w:val="105"/>
              </w:rPr>
              <w:t xml:space="preserve"> </w:t>
            </w:r>
            <w:r>
              <w:rPr>
                <w:rFonts w:eastAsia="Comic Sans MS"/>
                <w:w w:val="105"/>
              </w:rPr>
              <w:t>e</w:t>
            </w:r>
            <w:r w:rsidRPr="002343D3">
              <w:rPr>
                <w:rFonts w:eastAsia="Comic Sans MS"/>
                <w:w w:val="105"/>
              </w:rPr>
              <w:t xml:space="preserve"> sono limitati ai casi di accessi abusivi, furti, rapine e/o, in generale, di eventi che comportano violazioni/incidenti di sicurezza dei luoghi di la</w:t>
            </w:r>
            <w:r>
              <w:rPr>
                <w:rFonts w:eastAsia="Comic Sans MS"/>
                <w:w w:val="105"/>
              </w:rPr>
              <w:t>voro, del patrimonio aziendale,</w:t>
            </w:r>
            <w:r w:rsidRPr="002343D3">
              <w:rPr>
                <w:rFonts w:eastAsia="Comic Sans MS"/>
                <w:w w:val="105"/>
              </w:rPr>
              <w:t xml:space="preserve"> dei </w:t>
            </w:r>
            <w:r>
              <w:rPr>
                <w:rFonts w:eastAsia="Comic Sans MS"/>
                <w:w w:val="105"/>
              </w:rPr>
              <w:t>visitatori (clienti e fornitori).</w:t>
            </w:r>
            <w:r w:rsidRPr="002343D3">
              <w:rPr>
                <w:rFonts w:eastAsia="Comic Sans MS"/>
                <w:w w:val="105"/>
              </w:rPr>
              <w:t xml:space="preserve"> </w:t>
            </w:r>
            <w:r>
              <w:rPr>
                <w:rFonts w:eastAsia="Comic Sans MS"/>
                <w:w w:val="105"/>
              </w:rPr>
              <w:t>L</w:t>
            </w:r>
            <w:r w:rsidRPr="002343D3">
              <w:rPr>
                <w:rFonts w:eastAsia="Comic Sans MS"/>
                <w:w w:val="105"/>
              </w:rPr>
              <w:t>a comunicazione delle registrazioni</w:t>
            </w:r>
            <w:r>
              <w:rPr>
                <w:rFonts w:eastAsia="Comic Sans MS"/>
                <w:w w:val="105"/>
              </w:rPr>
              <w:t xml:space="preserve"> può avvenire soltanto</w:t>
            </w:r>
            <w:r w:rsidRPr="002343D3">
              <w:rPr>
                <w:rFonts w:eastAsia="Comic Sans MS"/>
                <w:w w:val="105"/>
              </w:rPr>
              <w:t xml:space="preserve"> alle Autorità pubbliche, in caso di richiesta. </w:t>
            </w:r>
            <w:r w:rsidRPr="00903B6A">
              <w:rPr>
                <w:rFonts w:eastAsia="Comic Sans MS"/>
                <w:w w:val="105"/>
              </w:rPr>
              <w:t xml:space="preserve">La manutenzione e assistenza dell’impianto è affidata al fornitore del sistema di videosorveglianza, il quale è appositamente nominato responsabile del trattamento dalla Società mediante specifico accordo. L’accesso </w:t>
            </w:r>
            <w:r w:rsidRPr="00903B6A">
              <w:rPr>
                <w:rFonts w:eastAsia="Comic Sans MS"/>
                <w:w w:val="105"/>
              </w:rPr>
              <w:lastRenderedPageBreak/>
              <w:t>alle immagini e alle relative registrazioni è consentito ai soli soggetti sopra menzionati.</w:t>
            </w:r>
            <w:r w:rsidRPr="002343D3">
              <w:rPr>
                <w:rFonts w:eastAsia="Comic Sans MS"/>
                <w:w w:val="105"/>
              </w:rPr>
              <w:t xml:space="preserve"> </w:t>
            </w:r>
          </w:p>
        </w:tc>
      </w:tr>
      <w:tr w:rsidR="0034545F" w:rsidRPr="002343D3" w14:paraId="17040227" w14:textId="77777777" w:rsidTr="00856CBA">
        <w:trPr>
          <w:trHeight w:val="618"/>
        </w:trPr>
        <w:tc>
          <w:tcPr>
            <w:tcW w:w="236" w:type="dxa"/>
            <w:tcBorders>
              <w:top w:val="single" w:sz="4" w:space="0" w:color="auto"/>
              <w:left w:val="single" w:sz="4" w:space="0" w:color="auto"/>
              <w:bottom w:val="single" w:sz="4" w:space="0" w:color="auto"/>
              <w:right w:val="single" w:sz="4" w:space="0" w:color="auto"/>
            </w:tcBorders>
          </w:tcPr>
          <w:p w14:paraId="7A01A74C" w14:textId="77777777" w:rsidR="0034545F" w:rsidRPr="002343D3" w:rsidRDefault="0034545F" w:rsidP="0034545F">
            <w:pPr>
              <w:pStyle w:val="Paragrafoelenco"/>
              <w:numPr>
                <w:ilvl w:val="0"/>
                <w:numId w:val="11"/>
              </w:numPr>
              <w:rPr>
                <w:rFonts w:ascii="Times New Roman" w:eastAsia="Comic Sans MS" w:hAnsi="Times New Roman"/>
                <w:b/>
                <w:w w:val="105"/>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14:paraId="2C7C0945" w14:textId="77777777" w:rsidR="0034545F" w:rsidRPr="002343D3" w:rsidRDefault="0034545F" w:rsidP="001A732E">
            <w:pPr>
              <w:rPr>
                <w:rFonts w:eastAsia="Comic Sans MS"/>
                <w:b/>
                <w:w w:val="105"/>
              </w:rPr>
            </w:pPr>
            <w:r w:rsidRPr="002343D3">
              <w:rPr>
                <w:rFonts w:eastAsia="Comic Sans MS"/>
                <w:b/>
                <w:w w:val="105"/>
              </w:rPr>
              <w:t>Interessati al trattamento e dati personali trattati</w:t>
            </w:r>
          </w:p>
        </w:tc>
        <w:tc>
          <w:tcPr>
            <w:tcW w:w="5163" w:type="dxa"/>
            <w:tcBorders>
              <w:top w:val="single" w:sz="4" w:space="0" w:color="auto"/>
              <w:left w:val="single" w:sz="4" w:space="0" w:color="auto"/>
              <w:bottom w:val="single" w:sz="4" w:space="0" w:color="auto"/>
              <w:right w:val="single" w:sz="4" w:space="0" w:color="auto"/>
            </w:tcBorders>
            <w:hideMark/>
          </w:tcPr>
          <w:p w14:paraId="2D7C5CE1" w14:textId="6C60963D" w:rsidR="0034545F" w:rsidRPr="002343D3" w:rsidRDefault="0034545F" w:rsidP="00814050">
            <w:pPr>
              <w:autoSpaceDE w:val="0"/>
              <w:autoSpaceDN w:val="0"/>
              <w:jc w:val="both"/>
              <w:rPr>
                <w:rFonts w:eastAsia="Comic Sans MS"/>
                <w:w w:val="105"/>
              </w:rPr>
            </w:pPr>
            <w:r w:rsidRPr="002343D3">
              <w:rPr>
                <w:rFonts w:eastAsia="Comic Sans MS"/>
                <w:w w:val="105"/>
              </w:rPr>
              <w:t xml:space="preserve">La Società, mediante il sistema di videosorveglianza costituito da </w:t>
            </w:r>
            <w:r w:rsidRPr="0034545F">
              <w:rPr>
                <w:rFonts w:eastAsia="Comic Sans MS"/>
                <w:w w:val="105"/>
              </w:rPr>
              <w:t xml:space="preserve">12 </w:t>
            </w:r>
            <w:r w:rsidRPr="002343D3">
              <w:rPr>
                <w:rFonts w:eastAsia="Comic Sans MS"/>
                <w:w w:val="105"/>
              </w:rPr>
              <w:t>telecamere</w:t>
            </w:r>
            <w:r>
              <w:rPr>
                <w:rFonts w:eastAsia="Comic Sans MS"/>
                <w:w w:val="105"/>
              </w:rPr>
              <w:t xml:space="preserve"> IP,</w:t>
            </w:r>
            <w:r w:rsidRPr="002343D3">
              <w:rPr>
                <w:rFonts w:eastAsia="Comic Sans MS"/>
                <w:w w:val="105"/>
              </w:rPr>
              <w:t xml:space="preserve"> posizionate e orientate nelle parti dei locali più </w:t>
            </w:r>
            <w:r>
              <w:rPr>
                <w:rFonts w:eastAsia="Comic Sans MS"/>
                <w:w w:val="105"/>
              </w:rPr>
              <w:t xml:space="preserve">sensibili e </w:t>
            </w:r>
            <w:r w:rsidRPr="002343D3">
              <w:rPr>
                <w:rFonts w:eastAsia="Comic Sans MS"/>
                <w:w w:val="105"/>
              </w:rPr>
              <w:t>esposte al rischio di intrusione/furto/accesso</w:t>
            </w:r>
            <w:r w:rsidR="003158F5">
              <w:rPr>
                <w:rFonts w:eastAsia="Comic Sans MS"/>
                <w:w w:val="105"/>
              </w:rPr>
              <w:t xml:space="preserve"> </w:t>
            </w:r>
            <w:r w:rsidR="00814050">
              <w:rPr>
                <w:rFonts w:eastAsia="Comic Sans MS"/>
                <w:w w:val="105"/>
              </w:rPr>
              <w:t>a</w:t>
            </w:r>
            <w:r w:rsidR="00072102">
              <w:rPr>
                <w:rFonts w:eastAsia="Comic Sans MS"/>
                <w:w w:val="105"/>
              </w:rPr>
              <w:t>b</w:t>
            </w:r>
            <w:r w:rsidRPr="002343D3">
              <w:rPr>
                <w:rFonts w:eastAsia="Comic Sans MS"/>
                <w:w w:val="105"/>
              </w:rPr>
              <w:t>usivo</w:t>
            </w:r>
            <w:r>
              <w:rPr>
                <w:rFonts w:eastAsia="Comic Sans MS"/>
                <w:w w:val="105"/>
              </w:rPr>
              <w:t>/danneggiamento del patrimonio aziendale,</w:t>
            </w:r>
            <w:r w:rsidRPr="002343D3">
              <w:rPr>
                <w:rFonts w:eastAsia="Comic Sans MS"/>
                <w:w w:val="105"/>
              </w:rPr>
              <w:t xml:space="preserve"> può trattare e rilevare le immagini dei propri dipendenti e/o dei visitatori (</w:t>
            </w:r>
            <w:r>
              <w:rPr>
                <w:rFonts w:eastAsia="Comic Sans MS"/>
                <w:w w:val="105"/>
              </w:rPr>
              <w:t>clienti</w:t>
            </w:r>
            <w:r w:rsidRPr="002343D3">
              <w:rPr>
                <w:rFonts w:eastAsia="Comic Sans MS"/>
                <w:w w:val="105"/>
              </w:rPr>
              <w:t xml:space="preserve"> e fornitori) che transitano davanti al raggio d’azione delle telecamere. </w:t>
            </w:r>
          </w:p>
        </w:tc>
      </w:tr>
      <w:tr w:rsidR="0034545F" w:rsidRPr="002343D3" w14:paraId="76703208" w14:textId="77777777" w:rsidTr="00856CBA">
        <w:trPr>
          <w:trHeight w:val="618"/>
        </w:trPr>
        <w:tc>
          <w:tcPr>
            <w:tcW w:w="236" w:type="dxa"/>
            <w:tcBorders>
              <w:top w:val="single" w:sz="4" w:space="0" w:color="auto"/>
              <w:left w:val="single" w:sz="4" w:space="0" w:color="auto"/>
              <w:bottom w:val="single" w:sz="4" w:space="0" w:color="auto"/>
              <w:right w:val="single" w:sz="4" w:space="0" w:color="auto"/>
            </w:tcBorders>
          </w:tcPr>
          <w:p w14:paraId="0FD3408D" w14:textId="77777777" w:rsidR="0034545F" w:rsidRPr="002343D3" w:rsidRDefault="0034545F" w:rsidP="0034545F">
            <w:pPr>
              <w:pStyle w:val="Paragrafoelenco"/>
              <w:numPr>
                <w:ilvl w:val="0"/>
                <w:numId w:val="11"/>
              </w:numPr>
              <w:rPr>
                <w:rFonts w:ascii="Times New Roman" w:eastAsia="Comic Sans MS" w:hAnsi="Times New Roman"/>
                <w:b/>
                <w:w w:val="105"/>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14:paraId="36602569" w14:textId="77777777" w:rsidR="0034545F" w:rsidRPr="002343D3" w:rsidRDefault="0034545F" w:rsidP="001A732E">
            <w:pPr>
              <w:rPr>
                <w:rFonts w:eastAsia="Comic Sans MS"/>
                <w:b/>
                <w:w w:val="105"/>
              </w:rPr>
            </w:pPr>
            <w:r w:rsidRPr="002343D3">
              <w:rPr>
                <w:rFonts w:eastAsia="Comic Sans MS"/>
                <w:b/>
                <w:w w:val="105"/>
              </w:rPr>
              <w:t>Finalità e base giuridica del trattamento</w:t>
            </w:r>
          </w:p>
        </w:tc>
        <w:tc>
          <w:tcPr>
            <w:tcW w:w="5163" w:type="dxa"/>
            <w:tcBorders>
              <w:top w:val="single" w:sz="4" w:space="0" w:color="auto"/>
              <w:left w:val="single" w:sz="4" w:space="0" w:color="auto"/>
              <w:bottom w:val="single" w:sz="4" w:space="0" w:color="auto"/>
              <w:right w:val="single" w:sz="4" w:space="0" w:color="auto"/>
            </w:tcBorders>
            <w:hideMark/>
          </w:tcPr>
          <w:p w14:paraId="2187EBDD" w14:textId="77777777" w:rsidR="0034545F" w:rsidRPr="002343D3" w:rsidRDefault="0034545F" w:rsidP="00856CBA">
            <w:pPr>
              <w:autoSpaceDE w:val="0"/>
              <w:autoSpaceDN w:val="0"/>
              <w:jc w:val="both"/>
              <w:rPr>
                <w:rFonts w:eastAsia="Comic Sans MS"/>
                <w:w w:val="105"/>
              </w:rPr>
            </w:pPr>
            <w:r w:rsidRPr="002343D3">
              <w:rPr>
                <w:rFonts w:eastAsia="Comic Sans MS"/>
                <w:w w:val="105"/>
              </w:rPr>
              <w:t xml:space="preserve">Il trattamento è basato sul legittimo interesse della Società per finalità di tutela e protezione del patrimonio aziendale e di sicurezza sui luoghi di lavoro. </w:t>
            </w:r>
          </w:p>
        </w:tc>
      </w:tr>
      <w:tr w:rsidR="0034545F" w:rsidRPr="002343D3" w14:paraId="165F4A10" w14:textId="77777777" w:rsidTr="00856CBA">
        <w:trPr>
          <w:trHeight w:val="618"/>
        </w:trPr>
        <w:tc>
          <w:tcPr>
            <w:tcW w:w="236" w:type="dxa"/>
            <w:tcBorders>
              <w:top w:val="single" w:sz="4" w:space="0" w:color="auto"/>
              <w:left w:val="single" w:sz="4" w:space="0" w:color="auto"/>
              <w:bottom w:val="single" w:sz="4" w:space="0" w:color="auto"/>
              <w:right w:val="single" w:sz="4" w:space="0" w:color="auto"/>
            </w:tcBorders>
          </w:tcPr>
          <w:p w14:paraId="493C5850" w14:textId="77777777" w:rsidR="0034545F" w:rsidRPr="002343D3" w:rsidRDefault="0034545F" w:rsidP="0034545F">
            <w:pPr>
              <w:pStyle w:val="Paragrafoelenco"/>
              <w:numPr>
                <w:ilvl w:val="0"/>
                <w:numId w:val="11"/>
              </w:numPr>
              <w:rPr>
                <w:rFonts w:ascii="Times New Roman" w:eastAsia="Comic Sans MS" w:hAnsi="Times New Roman"/>
                <w:b/>
                <w:w w:val="105"/>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14:paraId="2B14D532" w14:textId="77777777" w:rsidR="0034545F" w:rsidRPr="002343D3" w:rsidRDefault="0034545F" w:rsidP="001A732E">
            <w:pPr>
              <w:rPr>
                <w:rFonts w:eastAsia="Comic Sans MS"/>
                <w:b/>
                <w:w w:val="105"/>
              </w:rPr>
            </w:pPr>
            <w:r>
              <w:rPr>
                <w:rFonts w:eastAsia="Comic Sans MS"/>
                <w:b/>
                <w:w w:val="105"/>
              </w:rPr>
              <w:t>Luogo e t</w:t>
            </w:r>
            <w:r w:rsidRPr="002343D3">
              <w:rPr>
                <w:rFonts w:eastAsia="Comic Sans MS"/>
                <w:b/>
                <w:w w:val="105"/>
              </w:rPr>
              <w:t>empo di conservazione dei dati</w:t>
            </w:r>
          </w:p>
        </w:tc>
        <w:tc>
          <w:tcPr>
            <w:tcW w:w="5163" w:type="dxa"/>
            <w:tcBorders>
              <w:top w:val="single" w:sz="4" w:space="0" w:color="auto"/>
              <w:left w:val="single" w:sz="4" w:space="0" w:color="auto"/>
              <w:bottom w:val="single" w:sz="4" w:space="0" w:color="auto"/>
              <w:right w:val="single" w:sz="4" w:space="0" w:color="auto"/>
            </w:tcBorders>
            <w:hideMark/>
          </w:tcPr>
          <w:p w14:paraId="5943BABA" w14:textId="77777777" w:rsidR="0034545F" w:rsidRPr="002343D3" w:rsidRDefault="0034545F" w:rsidP="00856CBA">
            <w:pPr>
              <w:autoSpaceDE w:val="0"/>
              <w:autoSpaceDN w:val="0"/>
              <w:jc w:val="both"/>
              <w:rPr>
                <w:rFonts w:eastAsia="Comic Sans MS"/>
                <w:w w:val="105"/>
              </w:rPr>
            </w:pPr>
            <w:r w:rsidRPr="002343D3">
              <w:rPr>
                <w:rFonts w:eastAsia="Comic Sans MS"/>
                <w:w w:val="105"/>
              </w:rPr>
              <w:t xml:space="preserve">Le immagini sono </w:t>
            </w:r>
            <w:r>
              <w:rPr>
                <w:rFonts w:eastAsia="Comic Sans MS"/>
                <w:w w:val="105"/>
              </w:rPr>
              <w:t xml:space="preserve">registrate mediante registratore </w:t>
            </w:r>
            <w:r w:rsidRPr="0034545F">
              <w:rPr>
                <w:rFonts w:eastAsia="Comic Sans MS"/>
                <w:w w:val="105"/>
              </w:rPr>
              <w:t>Network Video Recorder</w:t>
            </w:r>
            <w:r>
              <w:rPr>
                <w:rFonts w:eastAsia="Comic Sans MS"/>
                <w:w w:val="105"/>
              </w:rPr>
              <w:t xml:space="preserve"> (“NVR”) situato nella sede della Società</w:t>
            </w:r>
            <w:r w:rsidRPr="002343D3">
              <w:rPr>
                <w:rFonts w:eastAsia="Comic Sans MS"/>
                <w:w w:val="105"/>
              </w:rPr>
              <w:t xml:space="preserve"> per un periodo non superiore a </w:t>
            </w:r>
            <w:r w:rsidRPr="0034545F">
              <w:rPr>
                <w:rFonts w:eastAsia="Comic Sans MS"/>
                <w:w w:val="105"/>
              </w:rPr>
              <w:t>72</w:t>
            </w:r>
            <w:r w:rsidRPr="002343D3">
              <w:rPr>
                <w:rFonts w:eastAsia="Comic Sans MS"/>
                <w:w w:val="105"/>
              </w:rPr>
              <w:t xml:space="preserve"> ore successive alla loro rilevazione, decorse le quali si auto cancellano mediante la sovrascrittura di nuove immagini, fatte salve specifiche esigenze di ulteriore conservazione (in relazione a festività o chiusura degli uffici, per l’acquisizione di prove in caso di furto, in ragione di specifiche richieste investigative dell’Autorità Giudiziaria, comunque per periodi inferiori a sette giorni), nonché nel caso in cui si debba rispondere ad una specifica richiesta investigativa dell’Autorità Giudiziaria o di Polizia Giudiziaria. </w:t>
            </w:r>
          </w:p>
        </w:tc>
      </w:tr>
      <w:tr w:rsidR="0034545F" w:rsidRPr="002343D3" w14:paraId="3DC8F9C7" w14:textId="77777777" w:rsidTr="00856CBA">
        <w:trPr>
          <w:trHeight w:val="618"/>
        </w:trPr>
        <w:tc>
          <w:tcPr>
            <w:tcW w:w="236" w:type="dxa"/>
            <w:tcBorders>
              <w:top w:val="single" w:sz="4" w:space="0" w:color="auto"/>
              <w:left w:val="single" w:sz="4" w:space="0" w:color="auto"/>
              <w:bottom w:val="single" w:sz="4" w:space="0" w:color="auto"/>
              <w:right w:val="single" w:sz="4" w:space="0" w:color="auto"/>
            </w:tcBorders>
          </w:tcPr>
          <w:p w14:paraId="60A90F24" w14:textId="77777777" w:rsidR="0034545F" w:rsidRPr="002343D3" w:rsidRDefault="0034545F" w:rsidP="0034545F">
            <w:pPr>
              <w:pStyle w:val="Paragrafoelenco"/>
              <w:numPr>
                <w:ilvl w:val="0"/>
                <w:numId w:val="11"/>
              </w:numPr>
              <w:rPr>
                <w:rFonts w:ascii="Times New Roman" w:eastAsia="Comic Sans MS" w:hAnsi="Times New Roman"/>
                <w:b/>
                <w:w w:val="105"/>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14:paraId="50B6D548" w14:textId="77777777" w:rsidR="0034545F" w:rsidRPr="0034545F" w:rsidRDefault="0034545F" w:rsidP="001A732E">
            <w:pPr>
              <w:rPr>
                <w:rFonts w:eastAsia="Comic Sans MS"/>
                <w:b/>
                <w:w w:val="105"/>
              </w:rPr>
            </w:pPr>
            <w:r w:rsidRPr="002343D3">
              <w:rPr>
                <w:rFonts w:eastAsia="Comic Sans MS"/>
                <w:b/>
                <w:w w:val="105"/>
              </w:rPr>
              <w:t>Diritti</w:t>
            </w:r>
          </w:p>
        </w:tc>
        <w:tc>
          <w:tcPr>
            <w:tcW w:w="5163" w:type="dxa"/>
            <w:tcBorders>
              <w:top w:val="single" w:sz="4" w:space="0" w:color="auto"/>
              <w:left w:val="single" w:sz="4" w:space="0" w:color="auto"/>
              <w:bottom w:val="single" w:sz="4" w:space="0" w:color="auto"/>
              <w:right w:val="single" w:sz="4" w:space="0" w:color="auto"/>
            </w:tcBorders>
            <w:hideMark/>
          </w:tcPr>
          <w:p w14:paraId="11211901" w14:textId="77777777" w:rsidR="0034545F" w:rsidRPr="002343D3" w:rsidRDefault="0034545F" w:rsidP="00856CBA">
            <w:pPr>
              <w:autoSpaceDE w:val="0"/>
              <w:autoSpaceDN w:val="0"/>
              <w:jc w:val="both"/>
              <w:rPr>
                <w:rFonts w:eastAsia="Comic Sans MS"/>
                <w:w w:val="105"/>
              </w:rPr>
            </w:pPr>
            <w:r w:rsidRPr="002343D3">
              <w:rPr>
                <w:rFonts w:eastAsia="Comic Sans MS"/>
                <w:w w:val="105"/>
              </w:rPr>
              <w:t>Gli interessati possono rivolgersi alla Società per esercitare i diritti previsti dalle Leggi Nazionali sulla Protezione dei Dati e dal GDPR (articoli 15 e ss.), in quanto applicabili al tipo di trattamento effettuato.</w:t>
            </w:r>
            <w:r>
              <w:rPr>
                <w:rFonts w:eastAsia="Comic Sans MS"/>
                <w:w w:val="105"/>
              </w:rPr>
              <w:t xml:space="preserve"> </w:t>
            </w:r>
          </w:p>
        </w:tc>
      </w:tr>
      <w:tr w:rsidR="0034545F" w:rsidRPr="002343D3" w14:paraId="1F92A140" w14:textId="77777777" w:rsidTr="00856CBA">
        <w:trPr>
          <w:trHeight w:val="618"/>
        </w:trPr>
        <w:tc>
          <w:tcPr>
            <w:tcW w:w="236" w:type="dxa"/>
            <w:tcBorders>
              <w:top w:val="single" w:sz="4" w:space="0" w:color="auto"/>
              <w:left w:val="single" w:sz="4" w:space="0" w:color="auto"/>
              <w:bottom w:val="single" w:sz="4" w:space="0" w:color="auto"/>
              <w:right w:val="single" w:sz="4" w:space="0" w:color="auto"/>
            </w:tcBorders>
          </w:tcPr>
          <w:p w14:paraId="62232CE5" w14:textId="77777777" w:rsidR="0034545F" w:rsidRPr="002343D3" w:rsidRDefault="0034545F" w:rsidP="0034545F">
            <w:pPr>
              <w:pStyle w:val="Paragrafoelenco"/>
              <w:numPr>
                <w:ilvl w:val="0"/>
                <w:numId w:val="11"/>
              </w:numPr>
              <w:rPr>
                <w:rFonts w:ascii="Times New Roman" w:eastAsia="Comic Sans MS" w:hAnsi="Times New Roman"/>
                <w:b/>
                <w:w w:val="105"/>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14:paraId="7A7E32B7" w14:textId="77777777" w:rsidR="0034545F" w:rsidRPr="002343D3" w:rsidRDefault="0034545F" w:rsidP="001A732E">
            <w:pPr>
              <w:rPr>
                <w:rFonts w:eastAsia="Comic Sans MS"/>
                <w:b/>
                <w:w w:val="105"/>
              </w:rPr>
            </w:pPr>
            <w:r w:rsidRPr="002343D3">
              <w:rPr>
                <w:rFonts w:eastAsia="Comic Sans MS"/>
                <w:b/>
                <w:w w:val="105"/>
              </w:rPr>
              <w:t>Diritto di opposizione</w:t>
            </w:r>
          </w:p>
        </w:tc>
        <w:tc>
          <w:tcPr>
            <w:tcW w:w="5163" w:type="dxa"/>
            <w:tcBorders>
              <w:top w:val="single" w:sz="4" w:space="0" w:color="auto"/>
              <w:left w:val="single" w:sz="4" w:space="0" w:color="auto"/>
              <w:bottom w:val="single" w:sz="4" w:space="0" w:color="auto"/>
              <w:right w:val="single" w:sz="4" w:space="0" w:color="auto"/>
            </w:tcBorders>
            <w:hideMark/>
          </w:tcPr>
          <w:p w14:paraId="566C9B67" w14:textId="77777777" w:rsidR="0034545F" w:rsidRPr="002343D3" w:rsidRDefault="0034545F" w:rsidP="00856CBA">
            <w:pPr>
              <w:autoSpaceDE w:val="0"/>
              <w:autoSpaceDN w:val="0"/>
              <w:jc w:val="both"/>
              <w:rPr>
                <w:rFonts w:eastAsia="Comic Sans MS"/>
                <w:w w:val="105"/>
              </w:rPr>
            </w:pPr>
            <w:r w:rsidRPr="002343D3">
              <w:rPr>
                <w:rFonts w:eastAsia="Comic Sans MS"/>
                <w:w w:val="105"/>
              </w:rPr>
              <w:t>Con le medesime modalità sopra previste, gli interessati possono opporsi, in tutto o in parte, al trattamento dei dati personali che li riguardano, ove la relativa base giuridica sia costituita dal legittimo interesse della Società, ai sensi e per gli effetti di quanto previsto dall’articolo 21 del GDPR.</w:t>
            </w:r>
          </w:p>
        </w:tc>
      </w:tr>
      <w:tr w:rsidR="0034545F" w:rsidRPr="002343D3" w14:paraId="56EA1EDC" w14:textId="77777777" w:rsidTr="00856CBA">
        <w:trPr>
          <w:trHeight w:val="2521"/>
        </w:trPr>
        <w:tc>
          <w:tcPr>
            <w:tcW w:w="236" w:type="dxa"/>
            <w:tcBorders>
              <w:top w:val="single" w:sz="4" w:space="0" w:color="auto"/>
              <w:left w:val="single" w:sz="4" w:space="0" w:color="auto"/>
              <w:bottom w:val="single" w:sz="4" w:space="0" w:color="auto"/>
              <w:right w:val="single" w:sz="4" w:space="0" w:color="auto"/>
            </w:tcBorders>
          </w:tcPr>
          <w:p w14:paraId="5740DE21" w14:textId="77777777" w:rsidR="0034545F" w:rsidRPr="002343D3" w:rsidRDefault="0034545F" w:rsidP="0034545F">
            <w:pPr>
              <w:pStyle w:val="Paragrafoelenco"/>
              <w:numPr>
                <w:ilvl w:val="0"/>
                <w:numId w:val="11"/>
              </w:numPr>
              <w:rPr>
                <w:rFonts w:ascii="Times New Roman" w:eastAsia="Comic Sans MS" w:hAnsi="Times New Roman"/>
                <w:b/>
                <w:w w:val="105"/>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14:paraId="6E967592" w14:textId="77777777" w:rsidR="0034545F" w:rsidRPr="002343D3" w:rsidRDefault="0034545F" w:rsidP="001A732E">
            <w:pPr>
              <w:rPr>
                <w:rFonts w:eastAsia="Comic Sans MS"/>
                <w:b/>
                <w:w w:val="105"/>
              </w:rPr>
            </w:pPr>
            <w:r w:rsidRPr="002343D3">
              <w:rPr>
                <w:rFonts w:eastAsia="Comic Sans MS"/>
                <w:b/>
                <w:w w:val="105"/>
              </w:rPr>
              <w:t>Reclamo</w:t>
            </w:r>
          </w:p>
        </w:tc>
        <w:tc>
          <w:tcPr>
            <w:tcW w:w="5163" w:type="dxa"/>
            <w:tcBorders>
              <w:top w:val="single" w:sz="4" w:space="0" w:color="auto"/>
              <w:left w:val="single" w:sz="4" w:space="0" w:color="auto"/>
              <w:bottom w:val="single" w:sz="4" w:space="0" w:color="auto"/>
              <w:right w:val="single" w:sz="4" w:space="0" w:color="auto"/>
            </w:tcBorders>
            <w:hideMark/>
          </w:tcPr>
          <w:p w14:paraId="1D295D39" w14:textId="5F2364C8" w:rsidR="0034545F" w:rsidRPr="0034545F" w:rsidRDefault="0034545F" w:rsidP="00856CBA">
            <w:pPr>
              <w:autoSpaceDE w:val="0"/>
              <w:autoSpaceDN w:val="0"/>
              <w:jc w:val="both"/>
              <w:rPr>
                <w:rFonts w:eastAsia="Comic Sans MS"/>
                <w:w w:val="105"/>
              </w:rPr>
            </w:pPr>
            <w:r w:rsidRPr="0034545F">
              <w:rPr>
                <w:rFonts w:eastAsia="Comic Sans MS"/>
                <w:w w:val="105"/>
              </w:rPr>
              <w:t>Ciascun soggetto interessato che ritenga che il trattamento dei dati che lo riguardano sia in violazione del GDPR, conformemente a quanto stabilito dall’articolo 77 del GDPR, può presentare reclamo a un’autorità di controllo in cui l’interessato risiede abitualmente o lavora ovvero ad un’autorità di controllo ove si è verificata la</w:t>
            </w:r>
            <w:r w:rsidR="00A8334E">
              <w:rPr>
                <w:rFonts w:eastAsia="Comic Sans MS"/>
                <w:w w:val="105"/>
              </w:rPr>
              <w:t xml:space="preserve"> presunta violazione dei dati.</w:t>
            </w:r>
          </w:p>
        </w:tc>
      </w:tr>
      <w:tr w:rsidR="0034545F" w:rsidRPr="002343D3" w14:paraId="4EBE1FD7" w14:textId="77777777" w:rsidTr="00856CBA">
        <w:trPr>
          <w:trHeight w:val="618"/>
        </w:trPr>
        <w:tc>
          <w:tcPr>
            <w:tcW w:w="236" w:type="dxa"/>
            <w:tcBorders>
              <w:top w:val="single" w:sz="4" w:space="0" w:color="auto"/>
              <w:left w:val="single" w:sz="4" w:space="0" w:color="auto"/>
              <w:bottom w:val="single" w:sz="4" w:space="0" w:color="auto"/>
              <w:right w:val="single" w:sz="4" w:space="0" w:color="auto"/>
            </w:tcBorders>
          </w:tcPr>
          <w:p w14:paraId="6EAEBEE0" w14:textId="77777777" w:rsidR="0034545F" w:rsidRPr="002343D3" w:rsidRDefault="0034545F" w:rsidP="0034545F">
            <w:pPr>
              <w:pStyle w:val="Paragrafoelenco"/>
              <w:numPr>
                <w:ilvl w:val="0"/>
                <w:numId w:val="11"/>
              </w:numPr>
              <w:rPr>
                <w:rFonts w:ascii="Times New Roman" w:eastAsia="Comic Sans MS" w:hAnsi="Times New Roman"/>
                <w:b/>
                <w:w w:val="105"/>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14:paraId="40DD993A" w14:textId="77777777" w:rsidR="0034545F" w:rsidRPr="002343D3" w:rsidRDefault="0034545F" w:rsidP="001A732E">
            <w:pPr>
              <w:rPr>
                <w:rFonts w:eastAsia="Comic Sans MS"/>
                <w:b/>
                <w:w w:val="105"/>
              </w:rPr>
            </w:pPr>
            <w:r w:rsidRPr="002343D3">
              <w:rPr>
                <w:rFonts w:eastAsia="Comic Sans MS"/>
                <w:b/>
                <w:w w:val="105"/>
              </w:rPr>
              <w:t>Aggiornamenti e revisioni</w:t>
            </w:r>
          </w:p>
          <w:p w14:paraId="104C17AC" w14:textId="77777777" w:rsidR="0034545F" w:rsidRPr="002343D3" w:rsidRDefault="0034545F" w:rsidP="001A732E">
            <w:pPr>
              <w:rPr>
                <w:rFonts w:eastAsia="Comic Sans MS"/>
                <w:b/>
                <w:w w:val="105"/>
              </w:rPr>
            </w:pPr>
          </w:p>
        </w:tc>
        <w:tc>
          <w:tcPr>
            <w:tcW w:w="5163" w:type="dxa"/>
            <w:tcBorders>
              <w:top w:val="single" w:sz="4" w:space="0" w:color="auto"/>
              <w:left w:val="single" w:sz="4" w:space="0" w:color="auto"/>
              <w:bottom w:val="single" w:sz="4" w:space="0" w:color="auto"/>
              <w:right w:val="single" w:sz="4" w:space="0" w:color="auto"/>
            </w:tcBorders>
            <w:hideMark/>
          </w:tcPr>
          <w:p w14:paraId="5234CD8B" w14:textId="77777777" w:rsidR="0034545F" w:rsidRPr="0034545F" w:rsidRDefault="0034545F" w:rsidP="00856CBA">
            <w:pPr>
              <w:autoSpaceDE w:val="0"/>
              <w:autoSpaceDN w:val="0"/>
              <w:jc w:val="both"/>
              <w:rPr>
                <w:rFonts w:eastAsia="Comic Sans MS"/>
                <w:w w:val="105"/>
              </w:rPr>
            </w:pPr>
            <w:r w:rsidRPr="0034545F">
              <w:rPr>
                <w:rFonts w:eastAsia="Comic Sans MS"/>
                <w:w w:val="105"/>
              </w:rPr>
              <w:t>La Società si riserva il diritto di modificare e/o aggiornare l’Informativa, tenuto anche conto delle eventuali e successive integrazioni e/o modifiche della disciplina nazionale e/o dell’Unione Europea in materia di protezione dei dati personali o per effetto di eventuali ulteriori finalità del trattamento dei dati. Le nuove versioni dell’Informativa sostituiranno le precedenti e saranno valide, efficaci ed applicate dalla data di pubblicazione sul sito web aziendale ovvero dalla data di comunicazione ai soggetti interessati.</w:t>
            </w:r>
          </w:p>
        </w:tc>
      </w:tr>
    </w:tbl>
    <w:p w14:paraId="15B2FACF" w14:textId="77777777" w:rsidR="00C33678" w:rsidRPr="00352F53" w:rsidRDefault="00C33678" w:rsidP="00C33678">
      <w:pPr>
        <w:keepNext/>
        <w:rPr>
          <w:rFonts w:asciiTheme="minorHAnsi" w:hAnsiTheme="minorHAnsi" w:cstheme="minorHAnsi"/>
        </w:rPr>
      </w:pPr>
    </w:p>
    <w:sectPr w:rsidR="00C33678" w:rsidRPr="00352F53" w:rsidSect="00616012">
      <w:headerReference w:type="default" r:id="rId8"/>
      <w:footerReference w:type="default" r:id="rId9"/>
      <w:pgSz w:w="11900" w:h="16840" w:code="9"/>
      <w:pgMar w:top="1418" w:right="561" w:bottom="244" w:left="396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ABACA" w14:textId="77777777" w:rsidR="00C00996" w:rsidRDefault="00C00996">
      <w:r>
        <w:separator/>
      </w:r>
    </w:p>
  </w:endnote>
  <w:endnote w:type="continuationSeparator" w:id="0">
    <w:p w14:paraId="17970BE5" w14:textId="77777777" w:rsidR="00C00996" w:rsidRDefault="00C0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84C7" w14:textId="77777777" w:rsidR="00C33678" w:rsidRPr="00352F53" w:rsidRDefault="00C33678" w:rsidP="00C33678">
    <w:pPr>
      <w:pStyle w:val="Pidipagina"/>
      <w:jc w:val="right"/>
      <w:rPr>
        <w:rFonts w:asciiTheme="minorHAnsi" w:hAnsiTheme="minorHAnsi" w:cstheme="minorHAnsi"/>
        <w:sz w:val="20"/>
      </w:rPr>
    </w:pPr>
    <w:r w:rsidRPr="00352F53">
      <w:rPr>
        <w:rFonts w:asciiTheme="minorHAnsi" w:hAnsiTheme="minorHAnsi" w:cstheme="minorHAnsi"/>
        <w:sz w:val="20"/>
      </w:rPr>
      <w:t xml:space="preserve">Pagina </w:t>
    </w:r>
    <w:r w:rsidRPr="00352F53">
      <w:rPr>
        <w:rStyle w:val="Numeropagina"/>
        <w:rFonts w:asciiTheme="minorHAnsi" w:hAnsiTheme="minorHAnsi" w:cstheme="minorHAnsi"/>
        <w:sz w:val="20"/>
      </w:rPr>
      <w:fldChar w:fldCharType="begin"/>
    </w:r>
    <w:r w:rsidRPr="00352F53">
      <w:rPr>
        <w:rStyle w:val="Numeropagina"/>
        <w:rFonts w:asciiTheme="minorHAnsi" w:hAnsiTheme="minorHAnsi" w:cstheme="minorHAnsi"/>
        <w:sz w:val="20"/>
      </w:rPr>
      <w:instrText xml:space="preserve"> PAGE </w:instrText>
    </w:r>
    <w:r w:rsidRPr="00352F53">
      <w:rPr>
        <w:rStyle w:val="Numeropagina"/>
        <w:rFonts w:asciiTheme="minorHAnsi" w:hAnsiTheme="minorHAnsi" w:cstheme="minorHAnsi"/>
        <w:sz w:val="20"/>
      </w:rPr>
      <w:fldChar w:fldCharType="separate"/>
    </w:r>
    <w:r w:rsidR="00814050">
      <w:rPr>
        <w:rStyle w:val="Numeropagina"/>
        <w:rFonts w:asciiTheme="minorHAnsi" w:hAnsiTheme="minorHAnsi" w:cstheme="minorHAnsi"/>
        <w:noProof/>
        <w:sz w:val="20"/>
      </w:rPr>
      <w:t>3</w:t>
    </w:r>
    <w:r w:rsidRPr="00352F53">
      <w:rPr>
        <w:rStyle w:val="Numeropagina"/>
        <w:rFonts w:asciiTheme="minorHAnsi" w:hAnsiTheme="minorHAnsi" w:cstheme="minorHAnsi"/>
        <w:sz w:val="20"/>
      </w:rPr>
      <w:fldChar w:fldCharType="end"/>
    </w:r>
    <w:r w:rsidRPr="00352F53">
      <w:rPr>
        <w:rFonts w:asciiTheme="minorHAnsi" w:hAnsiTheme="minorHAnsi" w:cstheme="minorHAnsi"/>
        <w:sz w:val="20"/>
      </w:rPr>
      <w:t xml:space="preserve"> di </w:t>
    </w:r>
    <w:r w:rsidRPr="00352F53">
      <w:rPr>
        <w:rStyle w:val="Numeropagina"/>
        <w:rFonts w:asciiTheme="minorHAnsi" w:hAnsiTheme="minorHAnsi" w:cstheme="minorHAnsi"/>
        <w:sz w:val="20"/>
      </w:rPr>
      <w:fldChar w:fldCharType="begin"/>
    </w:r>
    <w:r w:rsidRPr="00352F53">
      <w:rPr>
        <w:rStyle w:val="Numeropagina"/>
        <w:rFonts w:asciiTheme="minorHAnsi" w:hAnsiTheme="minorHAnsi" w:cstheme="minorHAnsi"/>
        <w:sz w:val="20"/>
      </w:rPr>
      <w:instrText xml:space="preserve"> NUMPAGES </w:instrText>
    </w:r>
    <w:r w:rsidRPr="00352F53">
      <w:rPr>
        <w:rStyle w:val="Numeropagina"/>
        <w:rFonts w:asciiTheme="minorHAnsi" w:hAnsiTheme="minorHAnsi" w:cstheme="minorHAnsi"/>
        <w:sz w:val="20"/>
      </w:rPr>
      <w:fldChar w:fldCharType="separate"/>
    </w:r>
    <w:r w:rsidR="00814050">
      <w:rPr>
        <w:rStyle w:val="Numeropagina"/>
        <w:rFonts w:asciiTheme="minorHAnsi" w:hAnsiTheme="minorHAnsi" w:cstheme="minorHAnsi"/>
        <w:noProof/>
        <w:sz w:val="20"/>
      </w:rPr>
      <w:t>3</w:t>
    </w:r>
    <w:r w:rsidRPr="00352F53">
      <w:rPr>
        <w:rStyle w:val="Numeropagina"/>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42464" w14:textId="77777777" w:rsidR="00C00996" w:rsidRDefault="00C00996">
      <w:r>
        <w:separator/>
      </w:r>
    </w:p>
  </w:footnote>
  <w:footnote w:type="continuationSeparator" w:id="0">
    <w:p w14:paraId="6A940F7E" w14:textId="77777777" w:rsidR="00C00996" w:rsidRDefault="00C0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D1B96" w14:textId="77777777" w:rsidR="00C33678" w:rsidRPr="00B96DBD" w:rsidRDefault="00B96DBD" w:rsidP="00B96DBD">
    <w:pPr>
      <w:pStyle w:val="Intestazione"/>
    </w:pPr>
    <w:r>
      <w:rPr>
        <w:noProof/>
      </w:rPr>
      <w:drawing>
        <wp:anchor distT="0" distB="0" distL="114300" distR="114300" simplePos="0" relativeHeight="251658240" behindDoc="0" locked="0" layoutInCell="1" allowOverlap="1" wp14:anchorId="3A85664F" wp14:editId="52AE8819">
          <wp:simplePos x="0" y="0"/>
          <wp:positionH relativeFrom="margin">
            <wp:posOffset>-2482215</wp:posOffset>
          </wp:positionH>
          <wp:positionV relativeFrom="margin">
            <wp:posOffset>-668020</wp:posOffset>
          </wp:positionV>
          <wp:extent cx="2392680" cy="10929620"/>
          <wp:effectExtent l="0" t="0" r="0" b="508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CHIAVELLI_CARTAINTESTATA_OTTOBRE2020.jpg"/>
                  <pic:cNvPicPr/>
                </pic:nvPicPr>
                <pic:blipFill>
                  <a:blip r:embed="rId1"/>
                  <a:stretch>
                    <a:fillRect/>
                  </a:stretch>
                </pic:blipFill>
                <pic:spPr>
                  <a:xfrm>
                    <a:off x="0" y="0"/>
                    <a:ext cx="2392680" cy="10929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4A9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A1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CC3C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B0C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B068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4A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0A3A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AB8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BA0B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B8C5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161C83"/>
    <w:multiLevelType w:val="hybridMultilevel"/>
    <w:tmpl w:val="F97E00B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C9C7353"/>
    <w:multiLevelType w:val="hybridMultilevel"/>
    <w:tmpl w:val="A962B308"/>
    <w:lvl w:ilvl="0" w:tplc="A6FCBF4A">
      <w:start w:val="1"/>
      <w:numFmt w:val="decimal"/>
      <w:lvlText w:val="%1."/>
      <w:lvlJc w:val="left"/>
      <w:pPr>
        <w:ind w:left="360" w:hanging="360"/>
      </w:pPr>
      <w:rPr>
        <w:rFonts w:ascii="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1B"/>
    <w:rsid w:val="0000602C"/>
    <w:rsid w:val="00022109"/>
    <w:rsid w:val="00044FD2"/>
    <w:rsid w:val="00072102"/>
    <w:rsid w:val="000B3096"/>
    <w:rsid w:val="001276DC"/>
    <w:rsid w:val="001330A1"/>
    <w:rsid w:val="00140896"/>
    <w:rsid w:val="001B0CA8"/>
    <w:rsid w:val="002F22FC"/>
    <w:rsid w:val="003158F5"/>
    <w:rsid w:val="0034545F"/>
    <w:rsid w:val="00352F53"/>
    <w:rsid w:val="0035370D"/>
    <w:rsid w:val="003843E8"/>
    <w:rsid w:val="003A0F1F"/>
    <w:rsid w:val="003B5257"/>
    <w:rsid w:val="003D5DCE"/>
    <w:rsid w:val="003E34ED"/>
    <w:rsid w:val="0042111C"/>
    <w:rsid w:val="0045293B"/>
    <w:rsid w:val="00490C01"/>
    <w:rsid w:val="004E46F3"/>
    <w:rsid w:val="005024BB"/>
    <w:rsid w:val="00564B7F"/>
    <w:rsid w:val="005854E3"/>
    <w:rsid w:val="00595A47"/>
    <w:rsid w:val="005B5E27"/>
    <w:rsid w:val="00616012"/>
    <w:rsid w:val="0066694E"/>
    <w:rsid w:val="006B2A6F"/>
    <w:rsid w:val="006D313D"/>
    <w:rsid w:val="006F699F"/>
    <w:rsid w:val="00707376"/>
    <w:rsid w:val="0074198C"/>
    <w:rsid w:val="00744B40"/>
    <w:rsid w:val="00746900"/>
    <w:rsid w:val="00753BE1"/>
    <w:rsid w:val="0076186A"/>
    <w:rsid w:val="00814050"/>
    <w:rsid w:val="00856CBA"/>
    <w:rsid w:val="00873E88"/>
    <w:rsid w:val="008C6E25"/>
    <w:rsid w:val="008D42CF"/>
    <w:rsid w:val="00924D1B"/>
    <w:rsid w:val="00952875"/>
    <w:rsid w:val="00987068"/>
    <w:rsid w:val="009E0EEC"/>
    <w:rsid w:val="009E4258"/>
    <w:rsid w:val="00A305FD"/>
    <w:rsid w:val="00A8334E"/>
    <w:rsid w:val="00AC1EF5"/>
    <w:rsid w:val="00AC4CAD"/>
    <w:rsid w:val="00AE47B3"/>
    <w:rsid w:val="00AF6A0E"/>
    <w:rsid w:val="00B96DBD"/>
    <w:rsid w:val="00BC5194"/>
    <w:rsid w:val="00C00996"/>
    <w:rsid w:val="00C33678"/>
    <w:rsid w:val="00C33E66"/>
    <w:rsid w:val="00C55BDB"/>
    <w:rsid w:val="00C77C07"/>
    <w:rsid w:val="00CB4907"/>
    <w:rsid w:val="00D37F04"/>
    <w:rsid w:val="00D41DF6"/>
    <w:rsid w:val="00D56976"/>
    <w:rsid w:val="00DA7F55"/>
    <w:rsid w:val="00DB00EA"/>
    <w:rsid w:val="00E56614"/>
    <w:rsid w:val="00E62F85"/>
    <w:rsid w:val="00E65FE4"/>
    <w:rsid w:val="00EB1E50"/>
    <w:rsid w:val="00ED4874"/>
    <w:rsid w:val="00F41F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FD6C5CF"/>
  <w14:defaultImageDpi w14:val="300"/>
  <w15:chartTrackingRefBased/>
  <w15:docId w15:val="{CE3BF5C0-7B0F-411A-B4D4-5B51B474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4">
    <w:name w:val="Intestazione-14"/>
    <w:basedOn w:val="Normale"/>
    <w:rsid w:val="000B5965"/>
    <w:rPr>
      <w:sz w:val="28"/>
    </w:rPr>
  </w:style>
  <w:style w:type="paragraph" w:customStyle="1" w:styleId="Testo-12">
    <w:name w:val="Testo-12"/>
    <w:basedOn w:val="Normale"/>
    <w:rsid w:val="002D2162"/>
  </w:style>
  <w:style w:type="paragraph" w:styleId="Intestazione">
    <w:name w:val="header"/>
    <w:basedOn w:val="Normale"/>
    <w:rsid w:val="00CA575A"/>
    <w:pPr>
      <w:tabs>
        <w:tab w:val="center" w:pos="4819"/>
        <w:tab w:val="right" w:pos="9638"/>
      </w:tabs>
    </w:pPr>
  </w:style>
  <w:style w:type="paragraph" w:styleId="Pidipagina">
    <w:name w:val="footer"/>
    <w:basedOn w:val="Normale"/>
    <w:rsid w:val="00CA575A"/>
    <w:pPr>
      <w:tabs>
        <w:tab w:val="center" w:pos="4819"/>
        <w:tab w:val="right" w:pos="9638"/>
      </w:tabs>
    </w:pPr>
  </w:style>
  <w:style w:type="paragraph" w:styleId="Intestazionemessaggio">
    <w:name w:val="Message Header"/>
    <w:basedOn w:val="Normale"/>
    <w:rsid w:val="001F5A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styleId="Numeropagina">
    <w:name w:val="page number"/>
    <w:basedOn w:val="Carpredefinitoparagrafo"/>
    <w:rsid w:val="007D7151"/>
  </w:style>
  <w:style w:type="paragraph" w:styleId="Testofumetto">
    <w:name w:val="Balloon Text"/>
    <w:basedOn w:val="Normale"/>
    <w:link w:val="TestofumettoCarattere"/>
    <w:uiPriority w:val="99"/>
    <w:semiHidden/>
    <w:unhideWhenUsed/>
    <w:rsid w:val="004E46F3"/>
    <w:rPr>
      <w:sz w:val="18"/>
      <w:szCs w:val="18"/>
    </w:rPr>
  </w:style>
  <w:style w:type="character" w:customStyle="1" w:styleId="TestofumettoCarattere">
    <w:name w:val="Testo fumetto Carattere"/>
    <w:basedOn w:val="Carpredefinitoparagrafo"/>
    <w:link w:val="Testofumetto"/>
    <w:uiPriority w:val="99"/>
    <w:semiHidden/>
    <w:rsid w:val="004E46F3"/>
    <w:rPr>
      <w:sz w:val="18"/>
      <w:szCs w:val="18"/>
    </w:rPr>
  </w:style>
  <w:style w:type="paragraph" w:styleId="Paragrafoelenco">
    <w:name w:val="List Paragraph"/>
    <w:basedOn w:val="Normale"/>
    <w:uiPriority w:val="34"/>
    <w:qFormat/>
    <w:rsid w:val="0034545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74C1-CFA5-43E2-AB19-78512312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guidi</dc:creator>
  <cp:keywords/>
  <cp:lastModifiedBy>Giorgio Tinti</cp:lastModifiedBy>
  <cp:revision>2</cp:revision>
  <cp:lastPrinted>2020-12-23T10:32:00Z</cp:lastPrinted>
  <dcterms:created xsi:type="dcterms:W3CDTF">2020-12-23T14:59:00Z</dcterms:created>
  <dcterms:modified xsi:type="dcterms:W3CDTF">2020-12-23T14:59:00Z</dcterms:modified>
</cp:coreProperties>
</file>